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A3" w:rsidRPr="00A02FD2" w:rsidRDefault="00DD39A3" w:rsidP="00DD39A3">
      <w:pPr>
        <w:pStyle w:val="Heading220"/>
        <w:keepNext/>
        <w:keepLines/>
        <w:shd w:val="clear" w:color="auto" w:fill="auto"/>
        <w:spacing w:after="54" w:line="360" w:lineRule="auto"/>
        <w:rPr>
          <w:rFonts w:ascii="Tahoma" w:hAnsi="Tahoma" w:cs="Tahoma"/>
          <w:sz w:val="24"/>
          <w:szCs w:val="24"/>
          <w:rtl/>
        </w:rPr>
      </w:pPr>
      <w:bookmarkStart w:id="0" w:name="bookmark1"/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גליון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מס</w:t>
      </w:r>
      <w:r w:rsidRPr="00A02FD2">
        <w:rPr>
          <w:rFonts w:ascii="Tahoma" w:hAnsi="Tahoma" w:cs="Tahoma"/>
          <w:color w:val="000000"/>
          <w:sz w:val="24"/>
          <w:szCs w:val="24"/>
          <w:vertAlign w:val="superscript"/>
          <w:rtl/>
          <w:lang w:val="he-IL"/>
        </w:rPr>
        <w:t>,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1</w:t>
      </w:r>
      <w:bookmarkEnd w:id="0"/>
    </w:p>
    <w:p w:rsidR="00DD39A3" w:rsidRPr="00A02FD2" w:rsidRDefault="00DD39A3" w:rsidP="00DD39A3">
      <w:pPr>
        <w:pStyle w:val="Bodytext20"/>
        <w:shd w:val="clear" w:color="auto" w:fill="auto"/>
        <w:spacing w:before="0" w:after="90" w:line="360" w:lineRule="auto"/>
        <w:rPr>
          <w:rFonts w:ascii="Tahoma" w:hAnsi="Tahoma" w:cs="Tahoma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(ד באלול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ב'ל״ד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ליצ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יר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 — 1726 לפסה״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נ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)</w:t>
      </w: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ספר ראשון זה של ״דברי הימים״ כולל את התקופה המק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softHyphen/>
        <w:t>ראית הראשונה (מאברהם אבינו עד מות משה). כיסוד מתווה למחזור זה שמשו בראש וראשונה מקורות התורה אשר הוארו והושלמו על ידי מיטב הידיעות המדעיות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,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פרי החפירות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ו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החקירות הארכיאולוגיות וההיסטוריות החדישות ביותר.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גליון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זה מוקדש לאברהם בטרם היה לאברהם אבינו. הידיעה הראשית של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גליון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זה לקוחה — באורח יוצא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מן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הכלל, לא מן התורה עצמה, כי אם מן המדרש הנודע על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ניתוץ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הפסלים. אגדה מפורסמת זו, גם אם אין לה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אסמכתות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היסטוריות, יש לה טעם היסטורי עמוק. שתים הן העובדות ההיסטוריות: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A02FD2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right="40"/>
        <w:rPr>
          <w:rFonts w:ascii="Tahoma" w:hAnsi="Tahoma" w:cs="Tahoma" w:hint="cs"/>
          <w:sz w:val="24"/>
          <w:szCs w:val="24"/>
          <w:rtl/>
        </w:rPr>
      </w:pP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היסטוריותו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של אברהם אבינו אינה מוטל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ת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עוד היום בספק אף לדעת הקיצוניים שבמבקרים, לאחר שחוקרי המקרא עד לפני זמן קצר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התיחסו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אל סיפור התורה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כ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אל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"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ספרות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"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גרידא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או מיתוס, אגדה, וכדומה. כבשטחים רבים אחרים, כך גם כאן העלו החקירות הארכיאולוגיות והגיאולוגיות את קדמותם של המקורות, את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ת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יאומם המלא לתקופה ולסגנונה, סגנון חיים ואף סגנון לשון.</w:t>
      </w:r>
    </w:p>
    <w:p w:rsidR="00A02FD2" w:rsidRPr="00A02FD2" w:rsidRDefault="00A02FD2" w:rsidP="00A02FD2">
      <w:pPr>
        <w:pStyle w:val="1"/>
        <w:shd w:val="clear" w:color="auto" w:fill="auto"/>
        <w:tabs>
          <w:tab w:val="left" w:pos="735"/>
        </w:tabs>
        <w:spacing w:before="0" w:line="360" w:lineRule="auto"/>
        <w:ind w:left="1090" w:right="40"/>
        <w:rPr>
          <w:rFonts w:ascii="Tahoma" w:hAnsi="Tahoma" w:cs="Tahoma"/>
          <w:sz w:val="24"/>
          <w:szCs w:val="24"/>
          <w:rtl/>
        </w:rPr>
      </w:pPr>
    </w:p>
    <w:p w:rsidR="00DD39A3" w:rsidRDefault="00DD39A3" w:rsidP="00A02FD2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right="4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עובדת המסורת הקדומה ביותר שהאל אשר נתגלה אל משה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 xml:space="preserve">, 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הוציא את העם ממצרים ונתן לו את התורה בסיני, ידוע היה בעם כאלוהי אבותיו אברהם, 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יצחק ויעקב, מסורת זו, שנש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softHyphen/>
        <w:t xml:space="preserve">תמרה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כ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ל ימי גלות מצרים, אין כל יסוד לפקפק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באמיתותה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.</w:t>
      </w:r>
    </w:p>
    <w:p w:rsidR="00A02FD2" w:rsidRPr="00A02FD2" w:rsidRDefault="00A02FD2" w:rsidP="00A02FD2">
      <w:pPr>
        <w:pStyle w:val="1"/>
        <w:shd w:val="clear" w:color="auto" w:fill="auto"/>
        <w:tabs>
          <w:tab w:val="left" w:pos="735"/>
        </w:tabs>
        <w:spacing w:before="0" w:line="360" w:lineRule="auto"/>
        <w:ind w:left="1090" w:right="4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שתי עובדות אלה מחייבות את קדמותה של אמונת האחדות הישראלית לפני משה וי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ציאת מצרים וצמידותה לאבות האומה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.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אי־פעם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בימי קדם צצה בגזע ב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נ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י עבר המחשבה המהפכנית בתחום האמונה. המחקר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וההגיון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מצטרפים במלואם למסורת הרואה באברהם את מחולל המהפכה הרעיונית. וזהו הבסיס לאגדת ניתוץ הפסלים.</w:t>
      </w:r>
    </w:p>
    <w:p w:rsid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lastRenderedPageBreak/>
        <w:t xml:space="preserve">אין צריך לומר שבימינו מקבלים משמעות מיוחדת וסמלית שני מוטיבים אחרים מדברי ימי אברהם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: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״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לך־לך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״ </w:t>
      </w:r>
      <w:proofErr w:type="spellStart"/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כחווית</w:t>
      </w:r>
      <w:proofErr w:type="spellEnd"/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 xml:space="preserve"> 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יסוד להיסטוריה שלנו. והכבשן אש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ר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לפי האגדה הושלך אברהם לתוכו וניצל ממנו.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כך מצטרפים שלושה דברים אלה לנקודת המוקד של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הגליון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הראשון: ניתוץ פסלים ובשורת האמונה החדשה, הכבשן וההצלה, לך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לך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אל הארץ.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Pr="00A02FD2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מאורעות אלה (אשר הצמדנו אותם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לחרן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ולא לאור, אך הערנו שמעשים אלה התחילו להתרקם עוד באור), מתהווים על רקע התרחשויות מדיניות חשובות:</w:t>
      </w:r>
    </w:p>
    <w:p w:rsidR="00DD39A3" w:rsidRPr="00A02FD2" w:rsidRDefault="00DD39A3" w:rsidP="00DD39A3">
      <w:pPr>
        <w:pStyle w:val="1"/>
        <w:shd w:val="clear" w:color="auto" w:fill="auto"/>
        <w:tabs>
          <w:tab w:val="left" w:pos="742"/>
        </w:tabs>
        <w:spacing w:before="0" w:line="360" w:lineRule="auto"/>
        <w:ind w:left="40" w:firstLine="360"/>
        <w:rPr>
          <w:rFonts w:ascii="Tahoma" w:hAnsi="Tahoma" w:cs="Tahoma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א)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ab/>
        <w:t xml:space="preserve">פלישת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ההיקסוסים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למצרים.</w:t>
      </w:r>
    </w:p>
    <w:p w:rsidR="00DD39A3" w:rsidRDefault="00DD39A3" w:rsidP="00DD39A3">
      <w:pPr>
        <w:pStyle w:val="1"/>
        <w:shd w:val="clear" w:color="auto" w:fill="auto"/>
        <w:tabs>
          <w:tab w:val="left" w:pos="738"/>
        </w:tabs>
        <w:spacing w:before="0" w:line="360" w:lineRule="auto"/>
        <w:ind w:lef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ב)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ab/>
        <w:t xml:space="preserve">ראשיתו של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ח׳מורבי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—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אמרפל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.</w:t>
      </w:r>
    </w:p>
    <w:p w:rsidR="00A02FD2" w:rsidRPr="00A02FD2" w:rsidRDefault="00A02FD2" w:rsidP="00DD39A3">
      <w:pPr>
        <w:pStyle w:val="1"/>
        <w:shd w:val="clear" w:color="auto" w:fill="auto"/>
        <w:tabs>
          <w:tab w:val="left" w:pos="738"/>
        </w:tabs>
        <w:spacing w:before="0" w:line="360" w:lineRule="auto"/>
        <w:ind w:lef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חלקם של שבטי העברים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חבירו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בפלישת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ההיקסוסים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מוכ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ח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גם מתוך השמות העבריים מבין הכובשים וגם מתוך העובדה שהם היוו חיל שכירים רצוי ומכובד מאוד בכל המזרח התיכון. ישנם מסמכים היסטוריים המעידים על עובדת גזירות נגד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התישבות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ורכישת קרקעות (ראה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מייזלר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). גם יסוד חברון (מלשון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חבירו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) חל באותו זמן.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במזרח שהוא הקובע מבחינת ההשפעה התרבותית על ארץ- ישראל (ארץ האמורי, כנען) באותו זמן — אנו עומדים לפני התהוות מלכותו של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ח׳מורבי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הגדול. השנה היא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השניה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להימלכו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, ראשית מעשהו קביעת העיר בבל לבירת הארץ (עדיין אין מדינה בעלת גבולות קבועים).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DD39A3" w:rsidRDefault="00DD39A3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 w:hint="cs"/>
          <w:sz w:val="24"/>
          <w:szCs w:val="24"/>
          <w:rtl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המרכז הכלכלי החשוב ביותר למזרח כולו היא העיר גבל המתווכת בין מצרים לצפון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וצפון־מזר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ח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.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העתון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״מופיע״ בעיר שלם. בתקופה זו מולך בה מל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כ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י־צדק. קרבתו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האמונתית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ובריתו המדינית לעתיד עם אברהם הם היסוד לאיתור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העתון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בירושלים מאז.</w:t>
      </w:r>
    </w:p>
    <w:p w:rsidR="00A02FD2" w:rsidRPr="00A02FD2" w:rsidRDefault="00A02FD2" w:rsidP="00DD39A3">
      <w:pPr>
        <w:pStyle w:val="1"/>
        <w:shd w:val="clear" w:color="auto" w:fill="auto"/>
        <w:spacing w:before="0" w:line="360" w:lineRule="auto"/>
        <w:ind w:left="40" w:right="40" w:firstLine="360"/>
        <w:rPr>
          <w:rFonts w:ascii="Tahoma" w:hAnsi="Tahoma" w:cs="Tahoma"/>
          <w:sz w:val="24"/>
          <w:szCs w:val="24"/>
          <w:rtl/>
        </w:rPr>
      </w:pPr>
    </w:p>
    <w:p w:rsidR="00410733" w:rsidRPr="00DD39A3" w:rsidRDefault="00DD39A3" w:rsidP="00A02FD2">
      <w:pPr>
        <w:pStyle w:val="1"/>
        <w:shd w:val="clear" w:color="auto" w:fill="auto"/>
        <w:spacing w:before="0" w:after="399" w:line="360" w:lineRule="auto"/>
        <w:ind w:left="40" w:right="40" w:firstLine="360"/>
        <w:rPr>
          <w:rFonts w:ascii="Tahoma" w:hAnsi="Tahoma" w:cs="Tahoma"/>
        </w:rPr>
      </w:pP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הרשימה ״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השערו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ר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יה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בשוק האלילים״ הוא פרי עטה של התלמידה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שושונה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זוננשיין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מחיפה, שזכתה בפרס ראשון על </w:t>
      </w:r>
      <w:r w:rsidRPr="00A02FD2">
        <w:rPr>
          <w:rFonts w:ascii="Tahoma" w:hAnsi="Tahoma" w:cs="Tahoma" w:hint="cs"/>
          <w:color w:val="000000"/>
          <w:sz w:val="24"/>
          <w:szCs w:val="24"/>
          <w:rtl/>
          <w:lang w:val="he-IL"/>
        </w:rPr>
        <w:t>כ</w:t>
      </w:r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תיבת </w:t>
      </w:r>
      <w:proofErr w:type="spellStart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>ריפורטאג׳ה</w:t>
      </w:r>
      <w:proofErr w:type="spellEnd"/>
      <w:r w:rsidRPr="00A02FD2">
        <w:rPr>
          <w:rFonts w:ascii="Tahoma" w:hAnsi="Tahoma" w:cs="Tahoma"/>
          <w:color w:val="000000"/>
          <w:sz w:val="24"/>
          <w:szCs w:val="24"/>
          <w:rtl/>
          <w:lang w:val="he-IL"/>
        </w:rPr>
        <w:t xml:space="preserve"> על נושא זה.</w:t>
      </w:r>
      <w:bookmarkStart w:id="1" w:name="_GoBack"/>
      <w:bookmarkEnd w:id="1"/>
    </w:p>
    <w:sectPr w:rsidR="00410733" w:rsidRPr="00DD39A3" w:rsidSect="00AA618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B6" w:rsidRDefault="00801AB6" w:rsidP="00A02FD2">
      <w:pPr>
        <w:spacing w:after="0" w:line="240" w:lineRule="auto"/>
      </w:pPr>
      <w:r>
        <w:separator/>
      </w:r>
    </w:p>
  </w:endnote>
  <w:endnote w:type="continuationSeparator" w:id="0">
    <w:p w:rsidR="00801AB6" w:rsidRDefault="00801AB6" w:rsidP="00A0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D2" w:rsidRPr="00A02FD2" w:rsidRDefault="00A02FD2" w:rsidP="00A02FD2">
    <w:pPr>
      <w:pStyle w:val="a5"/>
      <w:jc w:val="center"/>
      <w:rPr>
        <w:rFonts w:ascii="Tahoma" w:hAnsi="Tahoma" w:cs="Tahoma"/>
        <w:b/>
        <w:bCs/>
      </w:rPr>
    </w:pPr>
    <w:r w:rsidRPr="00A02FD2">
      <w:rPr>
        <w:rFonts w:ascii="Tahoma" w:hAnsi="Tahoma" w:cs="Tahoma"/>
        <w:b/>
        <w:bCs/>
        <w:rtl/>
      </w:rPr>
      <w:t xml:space="preserve">מתוך אתר ישראל אלדד – מחשבת מלכות ישראל </w:t>
    </w:r>
    <w:hyperlink r:id="rId1" w:history="1">
      <w:r w:rsidRPr="00A02FD2">
        <w:rPr>
          <w:rStyle w:val="Hyperlink"/>
          <w:rFonts w:ascii="Tahoma" w:hAnsi="Tahoma" w:cs="Tahoma"/>
          <w:b/>
          <w:bCs/>
        </w:rPr>
        <w:t>www.israeleldad.co.il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B6" w:rsidRDefault="00801AB6" w:rsidP="00A02FD2">
      <w:pPr>
        <w:spacing w:after="0" w:line="240" w:lineRule="auto"/>
      </w:pPr>
      <w:r>
        <w:separator/>
      </w:r>
    </w:p>
  </w:footnote>
  <w:footnote w:type="continuationSeparator" w:id="0">
    <w:p w:rsidR="00801AB6" w:rsidRDefault="00801AB6" w:rsidP="00A0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D2" w:rsidRPr="00A02FD2" w:rsidRDefault="00A02FD2" w:rsidP="00A02FD2">
    <w:pPr>
      <w:pStyle w:val="a3"/>
      <w:jc w:val="center"/>
      <w:rPr>
        <w:rFonts w:ascii="Tahoma" w:hAnsi="Tahoma" w:cs="Tahoma"/>
        <w:b/>
        <w:bCs/>
        <w:sz w:val="28"/>
        <w:szCs w:val="28"/>
        <w:rtl/>
      </w:rPr>
    </w:pPr>
    <w:r w:rsidRPr="00A02FD2">
      <w:rPr>
        <w:rFonts w:ascii="Tahoma" w:hAnsi="Tahoma" w:cs="Tahoma"/>
        <w:b/>
        <w:bCs/>
        <w:sz w:val="28"/>
        <w:szCs w:val="28"/>
        <w:rtl/>
      </w:rPr>
      <w:t>דברי הימים – חדשות העבר</w:t>
    </w:r>
  </w:p>
  <w:p w:rsidR="00A02FD2" w:rsidRPr="00A02FD2" w:rsidRDefault="00A02FD2" w:rsidP="00A02FD2">
    <w:pPr>
      <w:pStyle w:val="a3"/>
      <w:jc w:val="center"/>
      <w:rPr>
        <w:rFonts w:ascii="Tahoma" w:hAnsi="Tahoma" w:cs="Tahoma"/>
        <w:b/>
        <w:bCs/>
        <w:sz w:val="28"/>
        <w:szCs w:val="28"/>
      </w:rPr>
    </w:pPr>
    <w:r w:rsidRPr="00A02FD2">
      <w:rPr>
        <w:rFonts w:ascii="Tahoma" w:hAnsi="Tahoma" w:cs="Tahoma"/>
        <w:b/>
        <w:bCs/>
        <w:sz w:val="28"/>
        <w:szCs w:val="28"/>
        <w:rtl/>
      </w:rPr>
      <w:t xml:space="preserve">הקדמה </w:t>
    </w:r>
    <w:proofErr w:type="spellStart"/>
    <w:r w:rsidRPr="00A02FD2">
      <w:rPr>
        <w:rFonts w:ascii="Tahoma" w:hAnsi="Tahoma" w:cs="Tahoma"/>
        <w:b/>
        <w:bCs/>
        <w:sz w:val="28"/>
        <w:szCs w:val="28"/>
        <w:rtl/>
      </w:rPr>
      <w:t>לגליון</w:t>
    </w:r>
    <w:proofErr w:type="spellEnd"/>
    <w:r w:rsidRPr="00A02FD2">
      <w:rPr>
        <w:rFonts w:ascii="Tahoma" w:hAnsi="Tahoma" w:cs="Tahoma"/>
        <w:b/>
        <w:bCs/>
        <w:sz w:val="28"/>
        <w:szCs w:val="28"/>
        <w:rtl/>
      </w:rPr>
      <w:t xml:space="preserve"> מס'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5DD6"/>
    <w:multiLevelType w:val="hybridMultilevel"/>
    <w:tmpl w:val="F2C63508"/>
    <w:lvl w:ilvl="0" w:tplc="FD902DA2">
      <w:start w:val="1"/>
      <w:numFmt w:val="hebrew1"/>
      <w:lvlText w:val="%1)"/>
      <w:lvlJc w:val="left"/>
      <w:pPr>
        <w:ind w:left="1090" w:hanging="6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A3"/>
    <w:rsid w:val="00410733"/>
    <w:rsid w:val="00801AB6"/>
    <w:rsid w:val="00A02FD2"/>
    <w:rsid w:val="00AA6187"/>
    <w:rsid w:val="00D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2">
    <w:name w:val="Heading #2 (2)_"/>
    <w:basedOn w:val="a0"/>
    <w:link w:val="Heading220"/>
    <w:rsid w:val="00DD39A3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D39A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1"/>
    <w:rsid w:val="00DD39A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BodytextItalic">
    <w:name w:val="Body text + Italic"/>
    <w:basedOn w:val="Bodytext"/>
    <w:rsid w:val="00DD39A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Heading220">
    <w:name w:val="Heading #2 (2)"/>
    <w:basedOn w:val="a"/>
    <w:link w:val="Heading22"/>
    <w:rsid w:val="00DD39A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Bodytext20">
    <w:name w:val="Body text (2)"/>
    <w:basedOn w:val="a"/>
    <w:link w:val="Bodytext2"/>
    <w:rsid w:val="00DD39A3"/>
    <w:pPr>
      <w:widowControl w:val="0"/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">
    <w:name w:val="גוף טקסט1"/>
    <w:basedOn w:val="a"/>
    <w:link w:val="Bodytext"/>
    <w:rsid w:val="00DD39A3"/>
    <w:pPr>
      <w:widowControl w:val="0"/>
      <w:shd w:val="clear" w:color="auto" w:fill="FFFFFF"/>
      <w:spacing w:before="120" w:after="0" w:line="212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A02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02FD2"/>
  </w:style>
  <w:style w:type="paragraph" w:styleId="a5">
    <w:name w:val="footer"/>
    <w:basedOn w:val="a"/>
    <w:link w:val="a6"/>
    <w:uiPriority w:val="99"/>
    <w:unhideWhenUsed/>
    <w:rsid w:val="00A02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02FD2"/>
  </w:style>
  <w:style w:type="character" w:styleId="Hyperlink">
    <w:name w:val="Hyperlink"/>
    <w:basedOn w:val="a0"/>
    <w:uiPriority w:val="99"/>
    <w:unhideWhenUsed/>
    <w:rsid w:val="00A02F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2">
    <w:name w:val="Heading #2 (2)_"/>
    <w:basedOn w:val="a0"/>
    <w:link w:val="Heading220"/>
    <w:rsid w:val="00DD39A3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D39A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1"/>
    <w:rsid w:val="00DD39A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BodytextItalic">
    <w:name w:val="Body text + Italic"/>
    <w:basedOn w:val="Bodytext"/>
    <w:rsid w:val="00DD39A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Heading220">
    <w:name w:val="Heading #2 (2)"/>
    <w:basedOn w:val="a"/>
    <w:link w:val="Heading22"/>
    <w:rsid w:val="00DD39A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Bodytext20">
    <w:name w:val="Body text (2)"/>
    <w:basedOn w:val="a"/>
    <w:link w:val="Bodytext2"/>
    <w:rsid w:val="00DD39A3"/>
    <w:pPr>
      <w:widowControl w:val="0"/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">
    <w:name w:val="גוף טקסט1"/>
    <w:basedOn w:val="a"/>
    <w:link w:val="Bodytext"/>
    <w:rsid w:val="00DD39A3"/>
    <w:pPr>
      <w:widowControl w:val="0"/>
      <w:shd w:val="clear" w:color="auto" w:fill="FFFFFF"/>
      <w:spacing w:before="120" w:after="0" w:line="212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A02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02FD2"/>
  </w:style>
  <w:style w:type="paragraph" w:styleId="a5">
    <w:name w:val="footer"/>
    <w:basedOn w:val="a"/>
    <w:link w:val="a6"/>
    <w:uiPriority w:val="99"/>
    <w:unhideWhenUsed/>
    <w:rsid w:val="00A02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02FD2"/>
  </w:style>
  <w:style w:type="character" w:styleId="Hyperlink">
    <w:name w:val="Hyperlink"/>
    <w:basedOn w:val="a0"/>
    <w:uiPriority w:val="99"/>
    <w:unhideWhenUsed/>
    <w:rsid w:val="00A02F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raeleldad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</dc:creator>
  <cp:lastModifiedBy>Hilla</cp:lastModifiedBy>
  <cp:revision>2</cp:revision>
  <dcterms:created xsi:type="dcterms:W3CDTF">2013-10-13T08:42:00Z</dcterms:created>
  <dcterms:modified xsi:type="dcterms:W3CDTF">2013-10-13T09:06:00Z</dcterms:modified>
</cp:coreProperties>
</file>